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15"/>
    <w:p>
      <w:pPr>
        <w:pStyle w:val="Heading1"/>
      </w:pPr>
      <w:r>
        <w:t xml:space="preserve">Homiletics Analysis: Ezekiel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Ezekiel’s Judgment Oracles (Chapters 12–24)</w:t>
      </w:r>
    </w:p>
    <w:p>
      <w:pPr>
        <w:pStyle w:val="BodyText"/>
      </w:pPr>
      <w:r>
        <w:t xml:space="preserve">Ezekiel 15 sits within the extended middle section of the book (chapters 12–24) in which God, through a series of oracles, signs, allegories, and disputations, systematically dismantles every false confidence Israel has placed in her privileged status. The sequence moves through acted signs of coming siege (12), prophetic credibility against false prophets (13), elders confronted with idolatry (14), and now, in chapter 15, an extended parable challenging the assumption that Israel’s covenant election confers automatic protection. Chapter 16, which follows, extends the allegory further into Israel’s unfaithfulness as an adulterous wife. Chapter 15 is short but foundational — it strips the logic of national privilege down to its root and exposes it as worthless.</w:t>
      </w:r>
    </w:p>
    <w:p>
      <w:pPr>
        <w:pStyle w:val="BodyText"/>
      </w:pPr>
      <w:r>
        <w:rPr>
          <w:b/>
          <w:bCs/>
        </w:rPr>
        <w:t xml:space="preserve">This Text — Content</w:t>
      </w:r>
    </w:p>
    <w:p>
      <w:pPr>
        <w:pStyle w:val="BodyText"/>
      </w:pPr>
      <w:r>
        <w:t xml:space="preserve">The chapter is a wisdom-style parabolic disputation (mashal) in three movements. God first asks Ezekiel a series of rhetorical questions comparing the wood of the vine to other forest timber — what use is vine wood for craftwork? It cannot be made into anything. It is good for nothing except burning. The second movement presses the image further: if the vine wood was useless before burning, how much less is it useful after the fire has charred both ends and scorched the middle? The third movement delivers the interpretive application directly: Jerusalem is that charred vine. She has survived one fire (perhaps the 597 BC deportation under Jehoiachin) only to face another. She has been set for the fire precisely because she has been unfaithful. The land will be desolate, and they will know that the LORD has done this.</w:t>
      </w:r>
    </w:p>
    <w:p>
      <w:pPr>
        <w:pStyle w:val="BodyText"/>
      </w:pPr>
      <w:r>
        <w:rPr>
          <w:b/>
          <w:bCs/>
        </w:rPr>
        <w:t xml:space="preserve">This Text — Intent</w:t>
      </w:r>
    </w:p>
    <w:p>
      <w:pPr>
        <w:pStyle w:val="BodyText"/>
      </w:pPr>
      <w:r>
        <w:t xml:space="preserve">God is seeking to destroy one specific form of false security: the assumption that covenant identity (being</w:t>
      </w:r>
      <w:r>
        <w:t xml:space="preserve"> </w:t>
      </w:r>
      <w:r>
        <w:t xml:space="preserve">“the vine”</w:t>
      </w:r>
      <w:r>
        <w:t xml:space="preserve">) confers indestructible worth and guaranteed protection regardless of faithfulness. Israel presumed her election was a shield. Ezekiel 15 exposes that presumption with searing economy — the vine is not special because it is a vine; it is special only insofar as it bears fruit. A vine that produces no fruit is worse than useless; it is fit only for the fire, and not even a good fire at that. God intends through this oracle to sever the idolatry of religious identity — the notion that belonging to the right group, having the right heritage, or bearing the right name provides security apart from the faithfulness those markers were always meant to produce.</w:t>
      </w:r>
    </w:p>
    <w:p>
      <w:r>
        <w:pict>
          <v:rect style="width:0;height:1.5pt" o:hralign="center" o:hrstd="t" o:hr="t"/>
        </w:pict>
      </w:r>
    </w:p>
    <w:p>
      <w:pPr>
        <w:pStyle w:val="FirstParagraph"/>
      </w:pPr>
      <w:r>
        <w:rPr>
          <w:b/>
          <w:bCs/>
        </w:rPr>
        <w:t xml:space="preserve">Subject Sentence:</w:t>
      </w:r>
      <w:r>
        <w:t xml:space="preserve"> </w:t>
      </w:r>
      <w:r>
        <w:t xml:space="preserve">Jerusalem’s covenant identity confers no protection when faithfulness has been abandoned.</w:t>
      </w:r>
    </w:p>
    <w:p>
      <w:r>
        <w:pict>
          <v:rect style="width:0;height:1.5pt" o:hralign="center" o:hrstd="t" o:hr="t"/>
        </w:pict>
      </w:r>
    </w:p>
    <w:p>
      <w:pPr>
        <w:pStyle w:val="FirstParagraph"/>
      </w:pPr>
      <w:r>
        <w:rPr>
          <w:b/>
          <w:bCs/>
        </w:rPr>
        <w:t xml:space="preserve">Primary Claim:</w:t>
      </w:r>
      <w:r>
        <w:t xml:space="preserve"> </w:t>
      </w:r>
      <w:r>
        <w:t xml:space="preserve">God confronts every presumption that religious identity or belonging alone guarantees safety — the vine that bears no fruit is fit only for burning, and no past privilege changes that verdict.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parable’s referent — is</w:t>
      </w:r>
      <w:r>
        <w:rPr>
          <w:b/>
          <w:bCs/>
        </w:rPr>
        <w:t xml:space="preserve"> </w:t>
      </w:r>
      <w:r>
        <w:rPr>
          <w:b/>
          <w:bCs/>
        </w:rPr>
        <w:t xml:space="preserve">“the vine”</w:t>
      </w:r>
      <w:r>
        <w:rPr>
          <w:b/>
          <w:bCs/>
        </w:rPr>
        <w:t xml:space="preserve"> </w:t>
      </w:r>
      <w:r>
        <w:rPr>
          <w:b/>
          <w:bCs/>
        </w:rPr>
        <w:t xml:space="preserve">Israel, Jerusalem, or the king?</w:t>
      </w:r>
      <w:r>
        <w:t xml:space="preserve"> </w:t>
      </w:r>
      <w:r>
        <w:t xml:space="preserve">Some interpreters narrow the vine image to the Davidic monarchy or specifically to Zedekiah, paralleling the vine imagery in Ezekiel 17 (where the vine clearly represents the royal house). This reading is not without textual support — the word</w:t>
      </w:r>
      <w:r>
        <w:t xml:space="preserve"> </w:t>
      </w:r>
      <w:r>
        <w:t xml:space="preserve">“inhabitants of Jerusalem”</w:t>
      </w:r>
      <w:r>
        <w:t xml:space="preserve"> </w:t>
      </w:r>
      <w:r>
        <w:t xml:space="preserve">in verse 6 could be read as the ruling class. However, the oracle addresses</w:t>
      </w:r>
      <w:r>
        <w:t xml:space="preserve"> </w:t>
      </w:r>
      <w:r>
        <w:t xml:space="preserve">“the house of Israel”</w:t>
      </w:r>
      <w:r>
        <w:t xml:space="preserve"> </w:t>
      </w:r>
      <w:r>
        <w:t xml:space="preserve">in verse 6 and speaks of</w:t>
      </w:r>
      <w:r>
        <w:t xml:space="preserve"> </w:t>
      </w:r>
      <w:r>
        <w:t xml:space="preserve">“the land”</w:t>
      </w:r>
      <w:r>
        <w:t xml:space="preserve"> </w:t>
      </w:r>
      <w:r>
        <w:t xml:space="preserve">being desolate (v. 8), which points to the nation as a whole, not merely its leadership. The royal narrowing is worth acknowledging as a partial insight — the leadership does bear primary responsibility — but should not replace the broader national referent. The vine is Israel; Jerusalem is its symbolic center.</w:t>
      </w:r>
    </w:p>
    <w:p>
      <w:pPr>
        <w:pStyle w:val="BodyText"/>
      </w:pPr>
      <w:r>
        <w:rPr>
          <w:b/>
          <w:bCs/>
        </w:rPr>
        <w:t xml:space="preserve">The vine image — Isaiah 5 and the</w:t>
      </w:r>
      <w:r>
        <w:rPr>
          <w:b/>
          <w:bCs/>
        </w:rPr>
        <w:t xml:space="preserve"> </w:t>
      </w:r>
      <w:r>
        <w:rPr>
          <w:b/>
          <w:bCs/>
        </w:rPr>
        <w:t xml:space="preserve">“true vine”</w:t>
      </w:r>
      <w:r>
        <w:rPr>
          <w:b/>
          <w:bCs/>
        </w:rPr>
        <w:t xml:space="preserve"> </w:t>
      </w:r>
      <w:r>
        <w:rPr>
          <w:b/>
          <w:bCs/>
        </w:rPr>
        <w:t xml:space="preserve">of John 15</w:t>
      </w:r>
      <w:r>
        <w:t xml:space="preserve"> </w:t>
      </w:r>
      <w:r>
        <w:t xml:space="preserve">A significant question is whether the expositor should import the positive vine imagery of Isaiah 5:1–7 (the vineyard that produced wild grapes) or John 15:1–8 (Christ as the true vine) into the reading of Ezekiel 15. The connection is canonically real and homiletically rich, but it must be handled carefully. Ezekiel 15 is not drawing on Israel’s failure as a vineyard (Isaiah 5’s metaphor) — it is pressing a different point: vine wood is inherently useless for construction; the vine’s only value is its fruit. Importing Isaiah 5’s framework too quickly collapses the distinct rhetorical logic Ezekiel is developing. The canonical connection to John 15 is genuinely illuminating — Christ as the true vine is the fulfillment of what Israel failed to be — but this should come as theological deepening after the text’s own claim is established, not as a replacement of it.</w:t>
      </w:r>
    </w:p>
    <w:p>
      <w:pPr>
        <w:pStyle w:val="BodyText"/>
      </w:pPr>
      <w:r>
        <w:rPr>
          <w:b/>
          <w:bCs/>
        </w:rPr>
        <w:t xml:space="preserve">Is this passage only about judgment, or does it contain implicit hope?</w:t>
      </w:r>
      <w:r>
        <w:t xml:space="preserve"> </w:t>
      </w:r>
      <w:r>
        <w:t xml:space="preserve">Some charismatic and broadly evangelical interpreters reach for a note of hope in this text — perhaps in the fact that the vine is</w:t>
      </w:r>
      <w:r>
        <w:t xml:space="preserve"> </w:t>
      </w:r>
      <w:r>
        <w:t xml:space="preserve">“set”</w:t>
      </w:r>
      <w:r>
        <w:t xml:space="preserve"> </w:t>
      </w:r>
      <w:r>
        <w:t xml:space="preserve">by God (v. 7), suggesting divine sovereignty that could also preserve. This is an overreach. The text contains no hope note. It is unrelieved judgment. Any attempt to soften or balance it with a gospel turn before the text itself warrants it is a homiletical imposition, not an exegetical observation. The Reformed reading should resist the pressure to redeem every pericope into immediate comfort. God’s severity is itself a revelation of His character and a necessary word. The canonical hope exists — it comes in chapters 34, 36, and 37 — but it must not be smuggled into chapter 15.</w:t>
      </w:r>
    </w:p>
    <w:p>
      <w:pPr>
        <w:pStyle w:val="BodyText"/>
      </w:pPr>
      <w:r>
        <w:rPr>
          <w:b/>
          <w:bCs/>
        </w:rPr>
        <w:t xml:space="preserve">Wesleyan/Arminian reading — a warning to the truly elect?</w:t>
      </w:r>
      <w:r>
        <w:t xml:space="preserve"> </w:t>
      </w:r>
      <w:r>
        <w:t xml:space="preserve">Wesleyan interpreters may read this passage as evidence that genuine covenant members can finally forfeit their standing through persistent unfaithfulness — supporting a conditional perseverance framework. The Reformed reading does not deny the genuine warning force of this text. Israel was genuinely in covenant; she genuinely abandoned faithfulness; the judgment is genuinely deserved. What the Reformed framework insists is that the remnant theology of Ezekiel as a whole (chapters 6:8, 11:13, 14:22, and especially 36–37) distinguishes between national-covenantal membership and the effectual calling of the elect. National Israel’s judgment does not require revising the perseverance of the elect — it demonstrates the distinction between nominal covenant membership and true faith.</w:t>
      </w:r>
    </w:p>
    <w:p>
      <w:pPr>
        <w:pStyle w:val="BodyText"/>
      </w:pPr>
      <w:r>
        <w:rPr>
          <w:b/>
          <w:bCs/>
        </w:rPr>
        <w:t xml:space="preserve">The Reformed verdict</w:t>
      </w:r>
      <w:r>
        <w:t xml:space="preserve">: Ezekiel 15 is a judgment oracle of unrelieved severity directed at the nation of Israel (centered on Jerusalem) as a whole. Its central claim is that religious identity disconnected from faithfulness produces not privilege but greater accountability. The vine metaphor presses a specific point no other metaphor makes as sharply: the problem is not merely that the vine has failed — it is that a vine without fruit has no alternative use. There is no fallback value. Nominal religion is not merely insufficient; it is a liability. This reading is demanded by the text’s own rhetorical logic and is confirmed by its placement within Ezekiel’s systematic dismantling of false security in chapters 12–24.</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5:1–7</w:t>
      </w:r>
      <w:r>
        <w:t xml:space="preserve"> </w:t>
      </w:r>
      <w:r>
        <w:t xml:space="preserve">— The Song of the Vineyard: God planted Israel as a choice vine expecting fruit and received only wild grapes; the removal of protection and the judgment that follows clarifies why Ezekiel’s vine produces only fuel, not produce.</w:t>
      </w:r>
    </w:p>
    <w:p>
      <w:pPr>
        <w:numPr>
          <w:ilvl w:val="0"/>
          <w:numId w:val="1001"/>
        </w:numPr>
      </w:pPr>
      <w:r>
        <w:rPr>
          <w:b/>
          <w:bCs/>
        </w:rPr>
        <w:t xml:space="preserve">John 15:1–8</w:t>
      </w:r>
      <w:r>
        <w:t xml:space="preserve"> </w:t>
      </w:r>
      <w:r>
        <w:t xml:space="preserve">— Christ as the true vine: Jesus applies the exact logic of Ezekiel 15 — branches that do not bear fruit are removed and burned; He fulfills what Israel failed to be, becoming the vine in whom alone fruit is possible; every application about abiding flows from His doing what Israel would not.</w:t>
      </w:r>
    </w:p>
    <w:p>
      <w:pPr>
        <w:numPr>
          <w:ilvl w:val="0"/>
          <w:numId w:val="1001"/>
        </w:numPr>
      </w:pPr>
      <w:r>
        <w:rPr>
          <w:b/>
          <w:bCs/>
        </w:rPr>
        <w:t xml:space="preserve">Romans 9:6–8</w:t>
      </w:r>
      <w:r>
        <w:t xml:space="preserve"> </w:t>
      </w:r>
      <w:r>
        <w:t xml:space="preserve">—</w:t>
      </w:r>
      <w:r>
        <w:t xml:space="preserve"> </w:t>
      </w:r>
      <w:r>
        <w:t xml:space="preserve">“Not all who are descended from Israel are Israel”</w:t>
      </w:r>
      <w:r>
        <w:t xml:space="preserve">: Paul’s distinction between national covenant membership and true election directly addresses the false security Ezekiel 15 confronts; privilege of birth does not determine standing before God.</w:t>
      </w:r>
    </w:p>
    <w:p>
      <w:pPr>
        <w:numPr>
          <w:ilvl w:val="0"/>
          <w:numId w:val="1001"/>
        </w:numPr>
      </w:pPr>
      <w:r>
        <w:rPr>
          <w:b/>
          <w:bCs/>
        </w:rPr>
        <w:t xml:space="preserve">Matthew 3:9–10</w:t>
      </w:r>
      <w:r>
        <w:t xml:space="preserve"> </w:t>
      </w:r>
      <w:r>
        <w:t xml:space="preserve">— John the Baptist’s warning that Abraham’s children who do not produce fruit will be cut down and thrown into the fire: the vine/fire/fruit logic of Ezekiel 15 surfaces verbatim in John’s preaching, applied now to Second Temple Judaism making the same error as pre-exilic Jerusalem.</w:t>
      </w:r>
    </w:p>
    <w:p>
      <w:pPr>
        <w:numPr>
          <w:ilvl w:val="0"/>
          <w:numId w:val="1001"/>
        </w:numPr>
      </w:pPr>
      <w:r>
        <w:rPr>
          <w:b/>
          <w:bCs/>
        </w:rPr>
        <w:t xml:space="preserve">Hebrews 6:7–8</w:t>
      </w:r>
      <w:r>
        <w:t xml:space="preserve"> </w:t>
      </w:r>
      <w:r>
        <w:t xml:space="preserve">— Land that produces thorns is worthless and near to being cursed; its end is to be burned: the same argument structure as Ezekiel 15 — usefulness determines value, fruitlessness ends in fire — applied now as a warning to the new covenant community.</w:t>
      </w:r>
    </w:p>
    <w:p>
      <w:r>
        <w:pict>
          <v:rect style="width:0;height:1.5pt" o:hralign="center" o:hrstd="t" o:hr="t"/>
        </w:pict>
      </w:r>
    </w:p>
    <w:p>
      <w:pPr>
        <w:pStyle w:val="FirstParagraph"/>
      </w:pPr>
      <w:r>
        <w:rPr>
          <w:b/>
          <w:bCs/>
        </w:rPr>
        <w:t xml:space="preserve">Aim:</w:t>
      </w:r>
      <w:r>
        <w:t xml:space="preserve"> </w:t>
      </w:r>
      <w:r>
        <w:t xml:space="preserve">To shatter the assumption that religious identity, church membership, or covenant heritage provides security apart from the fruit that true union with God produces — and to drive the reader to examine whether their belonging is genuine or merely nominal.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word of the LORD comes to Ezekiel</w:t>
            </w:r>
          </w:p>
        </w:tc>
        <w:tc>
          <w:tcPr/>
          <w:p>
            <w:pPr>
              <w:pStyle w:val="Compact"/>
            </w:pPr>
            <w:r>
              <w:t xml:space="preserve">Standard prophetic commission formula; marks this as divine speech, not human wisdom</w:t>
            </w:r>
          </w:p>
        </w:tc>
      </w:tr>
      <w:tr>
        <w:tc>
          <w:tcPr/>
          <w:p>
            <w:pPr>
              <w:pStyle w:val="Compact"/>
            </w:pPr>
            <w:r>
              <w:t xml:space="preserve">2</w:t>
            </w:r>
          </w:p>
        </w:tc>
        <w:tc>
          <w:tcPr/>
          <w:p>
            <w:pPr>
              <w:pStyle w:val="Compact"/>
            </w:pPr>
            <w:r>
              <w:t xml:space="preserve">God poses the first rhetorical question: what is the vine compared to any other tree?</w:t>
            </w:r>
          </w:p>
        </w:tc>
        <w:tc>
          <w:tcPr/>
          <w:p>
            <w:pPr>
              <w:pStyle w:val="Compact"/>
            </w:pPr>
            <w:r>
              <w:t xml:space="preserve">Mashal (parable/disputation) form; hearers expected to engage the logic before the application</w:t>
            </w:r>
          </w:p>
        </w:tc>
      </w:tr>
      <w:tr>
        <w:tc>
          <w:tcPr/>
          <w:p>
            <w:pPr>
              <w:pStyle w:val="Compact"/>
            </w:pPr>
            <w:r>
              <w:t xml:space="preserve">3</w:t>
            </w:r>
          </w:p>
        </w:tc>
        <w:tc>
          <w:tcPr/>
          <w:p>
            <w:pPr>
              <w:pStyle w:val="Compact"/>
            </w:pPr>
            <w:r>
              <w:t xml:space="preserve">Can vine wood be used for any craftwork — even to hang something on?</w:t>
            </w:r>
          </w:p>
        </w:tc>
        <w:tc>
          <w:tcPr/>
          <w:p>
            <w:pPr>
              <w:pStyle w:val="Compact"/>
            </w:pPr>
            <w:r>
              <w:t xml:space="preserve">Three-part negation building: not for building, not for framing, not even for a peg</w:t>
            </w:r>
          </w:p>
        </w:tc>
      </w:tr>
      <w:tr>
        <w:tc>
          <w:tcPr/>
          <w:p>
            <w:pPr>
              <w:pStyle w:val="Compact"/>
            </w:pPr>
            <w:r>
              <w:t xml:space="preserve">4</w:t>
            </w:r>
          </w:p>
        </w:tc>
        <w:tc>
          <w:tcPr/>
          <w:p>
            <w:pPr>
              <w:pStyle w:val="Compact"/>
            </w:pPr>
            <w:r>
              <w:t xml:space="preserve">Vine wood is given to the fire for fuel; even then the fire consumes both ends and scorches the middle</w:t>
            </w:r>
          </w:p>
        </w:tc>
        <w:tc>
          <w:tcPr/>
          <w:p>
            <w:pPr>
              <w:pStyle w:val="Compact"/>
            </w:pPr>
            <w:r>
              <w:t xml:space="preserve">The irony: vine wood isn’t even good firewood — it burns unevenly</w:t>
            </w:r>
          </w:p>
        </w:tc>
      </w:tr>
      <w:tr>
        <w:tc>
          <w:tcPr/>
          <w:p>
            <w:pPr>
              <w:pStyle w:val="Compact"/>
            </w:pPr>
            <w:r>
              <w:t xml:space="preserve">5</w:t>
            </w:r>
          </w:p>
        </w:tc>
        <w:tc>
          <w:tcPr/>
          <w:p>
            <w:pPr>
              <w:pStyle w:val="Compact"/>
            </w:pPr>
            <w:r>
              <w:t xml:space="preserve">If it was useless whole, how much less useful is it when charred?</w:t>
            </w:r>
          </w:p>
        </w:tc>
        <w:tc>
          <w:tcPr/>
          <w:p>
            <w:pPr>
              <w:pStyle w:val="Compact"/>
            </w:pPr>
            <w:r>
              <w:t xml:space="preserve">Argument from lesser to greater (qal wahomer); charring doesn’t reveal hidden value, it confirms worthlessness</w:t>
            </w:r>
          </w:p>
        </w:tc>
      </w:tr>
      <w:tr>
        <w:tc>
          <w:tcPr/>
          <w:p>
            <w:pPr>
              <w:pStyle w:val="Compact"/>
            </w:pPr>
            <w:r>
              <w:t xml:space="preserve">6</w:t>
            </w:r>
          </w:p>
        </w:tc>
        <w:tc>
          <w:tcPr/>
          <w:p>
            <w:pPr>
              <w:pStyle w:val="Compact"/>
            </w:pPr>
            <w:r>
              <w:t xml:space="preserve">Application begins: as the vine is given to fire, so God has given the inhabitants of Jerusalem to fire</w:t>
            </w:r>
          </w:p>
        </w:tc>
        <w:tc>
          <w:tcPr/>
          <w:p>
            <w:pPr>
              <w:pStyle w:val="Compact"/>
            </w:pPr>
            <w:r>
              <w:t xml:space="preserve">The</w:t>
            </w:r>
            <w:r>
              <w:t xml:space="preserve"> </w:t>
            </w:r>
            <w:r>
              <w:t xml:space="preserve">“so”</w:t>
            </w:r>
            <w:r>
              <w:t xml:space="preserve"> </w:t>
            </w:r>
            <w:r>
              <w:t xml:space="preserve">(כֵּן) is the hinge; the parable’s logic now lands on Jerusalem</w:t>
            </w:r>
          </w:p>
        </w:tc>
      </w:tr>
      <w:tr>
        <w:tc>
          <w:tcPr/>
          <w:p>
            <w:pPr>
              <w:pStyle w:val="Compact"/>
            </w:pPr>
            <w:r>
              <w:t xml:space="preserve">7a</w:t>
            </w:r>
          </w:p>
        </w:tc>
        <w:tc>
          <w:tcPr/>
          <w:p>
            <w:pPr>
              <w:pStyle w:val="Compact"/>
            </w:pPr>
            <w:r>
              <w:t xml:space="preserve">God will set His face against them; though they escape the fire, fire will consume them</w:t>
            </w:r>
          </w:p>
        </w:tc>
        <w:tc>
          <w:tcPr/>
          <w:p>
            <w:pPr>
              <w:pStyle w:val="Compact"/>
            </w:pPr>
            <w:r>
              <w:t xml:space="preserve">Divine personal agency emphasized; escape from one judgment does not mean escape from all judgment</w:t>
            </w:r>
          </w:p>
        </w:tc>
      </w:tr>
      <w:tr>
        <w:tc>
          <w:tcPr/>
          <w:p>
            <w:pPr>
              <w:pStyle w:val="Compact"/>
            </w:pPr>
            <w:r>
              <w:t xml:space="preserve">7b</w:t>
            </w:r>
          </w:p>
        </w:tc>
        <w:tc>
          <w:tcPr/>
          <w:p>
            <w:pPr>
              <w:pStyle w:val="Compact"/>
            </w:pPr>
            <w:r>
              <w:t xml:space="preserve">“You will know that I am the LORD when I set my face against them”</w:t>
            </w:r>
          </w:p>
        </w:tc>
        <w:tc>
          <w:tcPr/>
          <w:p>
            <w:pPr>
              <w:pStyle w:val="Compact"/>
            </w:pPr>
            <w:r>
              <w:t xml:space="preserve">The recognition formula — judgment as self-revelation; God is not merely punishing, He is making Himself known</w:t>
            </w:r>
          </w:p>
        </w:tc>
      </w:tr>
      <w:tr>
        <w:tc>
          <w:tcPr/>
          <w:p>
            <w:pPr>
              <w:pStyle w:val="Compact"/>
            </w:pPr>
            <w:r>
              <w:t xml:space="preserve">8</w:t>
            </w:r>
          </w:p>
        </w:tc>
        <w:tc>
          <w:tcPr/>
          <w:p>
            <w:pPr>
              <w:pStyle w:val="Compact"/>
            </w:pPr>
            <w:r>
              <w:t xml:space="preserve">The land will become desolate because they have acted unfaithfully</w:t>
            </w:r>
          </w:p>
        </w:tc>
        <w:tc>
          <w:tcPr/>
          <w:p>
            <w:pPr>
              <w:pStyle w:val="Compact"/>
            </w:pPr>
            <w:r>
              <w:t xml:space="preserve">“Acted unfaithfully”</w:t>
            </w:r>
            <w:r>
              <w:t xml:space="preserve"> </w:t>
            </w:r>
            <w:r>
              <w:t xml:space="preserve">(מָעַל) — covenant betrayal, not merely moral failure; the land bears the consequence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Parable: The Useless Vine</w:t>
            </w:r>
          </w:p>
        </w:tc>
      </w:tr>
      <w:tr>
        <w:tc>
          <w:tcPr/>
          <w:p>
            <w:pPr>
              <w:pStyle w:val="Compact"/>
            </w:pPr>
            <w:r>
              <w:t xml:space="preserve">2</w:t>
            </w:r>
          </w:p>
        </w:tc>
        <w:tc>
          <w:tcPr/>
          <w:p>
            <w:pPr>
              <w:pStyle w:val="Compact"/>
            </w:pPr>
            <w:r>
              <w:t xml:space="preserve">6–8</w:t>
            </w:r>
          </w:p>
        </w:tc>
        <w:tc>
          <w:tcPr/>
          <w:p>
            <w:pPr>
              <w:pStyle w:val="Compact"/>
            </w:pPr>
            <w:r>
              <w:t xml:space="preserve">The Application: Jerusalem as the Charred Vine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Jerusalem’s covenant identity confers no protection when faithfulness has been abandoned.</w:t>
      </w:r>
    </w:p>
    <w:p>
      <w:pPr>
        <w:pStyle w:val="BodyText"/>
      </w:pPr>
      <w:r>
        <w:rPr>
          <w:b/>
          <w:bCs/>
        </w:rPr>
        <w:t xml:space="preserve">Primary Claim:</w:t>
      </w:r>
      <w:r>
        <w:t xml:space="preserve"> </w:t>
      </w:r>
      <w:r>
        <w:t xml:space="preserve">God confronts every presumption that religious identity or belonging alone guarantees safety — the vine that bears no fruit is fit only for burning, and no past privilege changes that verdict.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confidence in God is actually resting on.</w:t>
      </w:r>
      <w:r>
        <w:t xml:space="preserve"> </w:t>
      </w:r>
      <w:r>
        <w:rPr>
          <w:i/>
          <w:iCs/>
        </w:rPr>
        <w:t xml:space="preserve">(Mind/Belief)</w:t>
      </w:r>
      <w:r>
        <w:t xml:space="preserve"> </w:t>
      </w:r>
      <w:r>
        <w:t xml:space="preserve">The people of Jerusalem were not secular — they were religious, covenanted, temple-going, and convinced of their security. Ezekiel 15 forces the question: what is the actual basis of your confidence before God? If the honest answer involves your church attendance, your baptism, your upbringing, your family’s faith, your theological knowledge, or your ministry record — rather than a living union with Christ producing visible fruit — the oracle applies to you. The vine does not escape the fire by being a vine. Examine the foundation, not the label.</w:t>
      </w:r>
    </w:p>
    <w:p>
      <w:pPr>
        <w:pStyle w:val="BodyText"/>
      </w:pPr>
      <w:r>
        <w:rPr>
          <w:b/>
          <w:bCs/>
        </w:rPr>
        <w:t xml:space="preserve">2. Stop treating your religious heritage as a spiritual bank account.</w:t>
      </w:r>
      <w:r>
        <w:t xml:space="preserve"> </w:t>
      </w:r>
      <w:r>
        <w:rPr>
          <w:i/>
          <w:iCs/>
        </w:rPr>
        <w:t xml:space="preserve">(Affections/Worship)</w:t>
      </w:r>
      <w:r>
        <w:t xml:space="preserve"> </w:t>
      </w:r>
      <w:r>
        <w:t xml:space="preserve">There is a form of religious pride that is invisible to itself — a settled sense of safety that comes not from present communion with God but from accumulated religious capital: years in the church, correct doctrine held, a Reformed upbringing, a family legacy of faith. Ezekiel 15 addresses that settledness with a searing image: charred on both ends, scorched in the middle, fit for nothing. The affections that should flow toward God have been redirected toward the status of belonging. Repent of the comfort you have taken in your religious identity and return that trust to its only proper object — the living God who demands and produces fruit in those who are truly His.</w:t>
      </w:r>
    </w:p>
    <w:p>
      <w:pPr>
        <w:pStyle w:val="BodyText"/>
      </w:pPr>
      <w:r>
        <w:rPr>
          <w:b/>
          <w:bCs/>
        </w:rPr>
        <w:t xml:space="preserve">3. Understand that greater privilege produces greater accountability, not greater protection.</w:t>
      </w:r>
      <w:r>
        <w:t xml:space="preserve"> </w:t>
      </w:r>
      <w:r>
        <w:rPr>
          <w:i/>
          <w:iCs/>
        </w:rPr>
        <w:t xml:space="preserve">(Mind/Belief)</w:t>
      </w:r>
      <w:r>
        <w:t xml:space="preserve"> </w:t>
      </w:r>
      <w:r>
        <w:t xml:space="preserve">The vine is not merely useless — it is uniquely useless. It cannot function as timber, as craftwork, as even a reliable peg. Its failure is more complete than a lesser tree’s failure would be. Jerusalem’s judgment is not simply the fate of any nation — it is the judgment of a nation that had every advantage and produced nothing. In the same way, extended exposure to faithful preaching, sound doctrine, covenant community, and the means of grace does not create a buffer against judgment — it raises the stakes of faithfulness. Those who have heard most will answer most fully for what they did with what they heard.</w:t>
      </w:r>
    </w:p>
    <w:p>
      <w:pPr>
        <w:pStyle w:val="BodyText"/>
      </w:pPr>
      <w:r>
        <w:rPr>
          <w:b/>
          <w:bCs/>
        </w:rPr>
        <w:t xml:space="preserve">4. Let the severity of this text produce genuine fear of God, not merely intellectual acknowledgment.</w:t>
      </w:r>
      <w:r>
        <w:t xml:space="preserve"> </w:t>
      </w:r>
      <w:r>
        <w:rPr>
          <w:i/>
          <w:iCs/>
        </w:rPr>
        <w:t xml:space="preserve">(Affections/Worship)</w:t>
      </w:r>
      <w:r>
        <w:t xml:space="preserve"> </w:t>
      </w:r>
      <w:r>
        <w:t xml:space="preserve">Ezekiel 15 contains no comfort. That is not an accident. God intends for His people to feel the weight of what unfaithfulness produces — not as abstract doctrine but as a felt reality that reshapes the affective posture of the soul. The appropriate response to this chapter is not to rush to a gospel note that makes the discomfort manageable. Sit with the image: the charred vine, the fire consuming both ends, the land desolate. Let it produce in you the holy fear that takes sin seriously, that takes covenant seriously, that takes fruitfulness seriously — because God does.</w:t>
      </w:r>
    </w:p>
    <w:p>
      <w:pPr>
        <w:pStyle w:val="BodyText"/>
      </w:pPr>
      <w:r>
        <w:rPr>
          <w:b/>
          <w:bCs/>
        </w:rPr>
        <w:t xml:space="preserve">5. Ask concretely what fruit your life in Christ is actually producing.</w:t>
      </w:r>
      <w:r>
        <w:t xml:space="preserve"> </w:t>
      </w:r>
      <w:r>
        <w:rPr>
          <w:i/>
          <w:iCs/>
        </w:rPr>
        <w:t xml:space="preserve">(Will/Behavior)</w:t>
      </w:r>
      <w:r>
        <w:t xml:space="preserve"> </w:t>
      </w:r>
      <w:r>
        <w:t xml:space="preserve">The vine’s failure is not attitudinal — it is evidential. There is no fruit. The question Ezekiel 15 presses into the present moment is not</w:t>
      </w:r>
      <w:r>
        <w:t xml:space="preserve"> </w:t>
      </w:r>
      <w:r>
        <w:t xml:space="preserve">“do you feel like a Christian?”</w:t>
      </w:r>
      <w:r>
        <w:t xml:space="preserve"> </w:t>
      </w:r>
      <w:r>
        <w:t xml:space="preserve">but</w:t>
      </w:r>
      <w:r>
        <w:t xml:space="preserve"> </w:t>
      </w:r>
      <w:r>
        <w:t xml:space="preserve">“what is your life producing?”</w:t>
      </w:r>
      <w:r>
        <w:t xml:space="preserve"> </w:t>
      </w:r>
      <w:r>
        <w:t xml:space="preserve">Not fruit in the abstract, but specific, observable, nameable fruit: love that costs something, faithfulness under pressure, service that no one else sees, repentance that is real and repeated, generosity that is felt, witness that is actual. Name the fruit or name the absence. This is not a works-righteousness question — it is a union question. Those who are truly joined to the vine bear fruit. If the fruit is absent, the question of union is open.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15 teaches that God is not domesticated by human religious arrangements. He will not be held captive to the covenant as Israel wished to wield it — as a guarantee of safety regardless of faithfulness. The passage reveals that God’s covenantal commitment to His people is not a blank check but a call to a quality of life that the covenant itself demands. It also reveals that God acts in history through judgment as an act of self-revelation:</w:t>
      </w:r>
      <w:r>
        <w:t xml:space="preserve"> </w:t>
      </w:r>
      <w:r>
        <w:t xml:space="preserve">“you will know that I am the LORD”</w:t>
      </w:r>
      <w:r>
        <w:t xml:space="preserve"> </w:t>
      </w:r>
      <w:r>
        <w:t xml:space="preserve">(v. 7). Judgment is not merely punitive — it is epistemological; it makes God known. Finally, the text teaches that the creature’s value before God is not intrinsic but relational — the vine’s worth is entirely in its fruit, which is entirely in its connection to the source of life. Fruitlessness is not a neutral condition; it is a terminal 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powerful canonical witness to the Reformed distinction between the visible and invisible church, and between nominal covenant membership and saving union with Christ. Israel’s national election was real; their covenant was genuine; their privileges were actual. And none of it was sufficient apart from the faithfulness those privileges were designed to produce. The Reformed tradition has always insisted that belonging to the external administration of the covenant does not guarantee election — and Ezekiel 15 provides an Old Testament case study in exactly that distinction. Furthermore, the passage’s logic becomes Christologically transformed in John 15: what Israel failed to be, Christ is. The true vine is not a nation or an institution but a person — and fruit is possible only in vital union with Him. The gospel does not abolish the warning of Ezekiel 15; it relocates its resolution entirely in Christ, whose faithfulness is the only ground of the fruitfulness God requires.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Religious identity is not a shelter. The vine does not escape the fire by being a vine — it escapes only by bearing fruit, and it bears fruit only by being truly connected to the life that produces it. If your confidence before God is resting on your belonging rather than on your union with the One in whom alone real belonging consists, Ezekiel 15 is addressed to you. Stop living on borrowed covenant capital. Come to Christ, abide in Christ, and bear fruit — because the fire is real, and the charred vine has no defense.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moralistic productivity sermon.</w:t>
      </w:r>
      <w:r>
        <w:t xml:space="preserve"> </w:t>
      </w:r>
      <w:r>
        <w:t xml:space="preserve">The vine image can be misread as a straightforward command to</w:t>
      </w:r>
      <w:r>
        <w:t xml:space="preserve"> </w:t>
      </w:r>
      <w:r>
        <w:t xml:space="preserve">“be fruitful”</w:t>
      </w:r>
      <w:r>
        <w:t xml:space="preserve"> </w:t>
      </w:r>
      <w:r>
        <w:t xml:space="preserve">— producing a works-based application that simply tells people to do more. This misses the oracle’s primary target, which is</w:t>
      </w:r>
      <w:r>
        <w:t xml:space="preserve"> </w:t>
      </w:r>
      <w:r>
        <w:rPr>
          <w:i/>
          <w:iCs/>
        </w:rPr>
        <w:t xml:space="preserve">false security</w:t>
      </w:r>
      <w:r>
        <w:t xml:space="preserve">, not</w:t>
      </w:r>
      <w:r>
        <w:t xml:space="preserve"> </w:t>
      </w:r>
      <w:r>
        <w:rPr>
          <w:i/>
          <w:iCs/>
        </w:rPr>
        <w:t xml:space="preserve">laziness</w:t>
      </w:r>
      <w:r>
        <w:t xml:space="preserve">. The people of Jerusalem were not being confronted for failing to try harder — they were being confronted for presuming that their identity protected them while their lives contradicted it. Applications must address the presumption, not merely exhort effort.</w:t>
      </w:r>
    </w:p>
    <w:p>
      <w:pPr>
        <w:numPr>
          <w:ilvl w:val="0"/>
          <w:numId w:val="1002"/>
        </w:numPr>
      </w:pPr>
      <w:r>
        <w:rPr>
          <w:b/>
          <w:bCs/>
        </w:rPr>
        <w:t xml:space="preserve">Rushing to the gospel resolution before the text has done its work.</w:t>
      </w:r>
      <w:r>
        <w:t xml:space="preserve"> </w:t>
      </w:r>
      <w:r>
        <w:t xml:space="preserve">Ezekiel 15 contains no comfort, and forcing one in is a disservice to both the text and the congregation. There is a homiletical habit of always closing with grace, which in some passages simply distorts the text’s own intention. The canon has a gospel resolution to this text (John 15, Romans 9, Hebrews 6), but Ezekiel 15 itself is designed to unsettle, to strip, to confront. Let it do that. The preacher can note the broader canonical framework without domesticating the severity of this specific oracle.</w:t>
      </w:r>
    </w:p>
    <w:p>
      <w:pPr>
        <w:numPr>
          <w:ilvl w:val="0"/>
          <w:numId w:val="1002"/>
        </w:numPr>
      </w:pPr>
      <w:r>
        <w:rPr>
          <w:b/>
          <w:bCs/>
        </w:rPr>
        <w:t xml:space="preserve">Importing Isaiah 5’s vine imagery and losing Ezekiel 15’s distinct argument.</w:t>
      </w:r>
      <w:r>
        <w:t xml:space="preserve"> </w:t>
      </w:r>
      <w:r>
        <w:t xml:space="preserve">Isaiah 5 and Ezekiel 15 both use vine imagery, but they make different arguments. Isaiah 5 focuses on the vineyard that produced the wrong fruit (wild grapes). Ezekiel 15 focuses on vine</w:t>
      </w:r>
      <w:r>
        <w:t xml:space="preserve"> </w:t>
      </w:r>
      <w:r>
        <w:rPr>
          <w:i/>
          <w:iCs/>
        </w:rPr>
        <w:t xml:space="preserve">wood</w:t>
      </w:r>
      <w:r>
        <w:t xml:space="preserve"> </w:t>
      </w:r>
      <w:r>
        <w:t xml:space="preserve">that is inherently unsuitable for any other purpose — its failure is not a matter of producing the wrong thing but of producing nothing at all and being fit for nothing else. Conflating these images loses Ezekiel’s specific and sharper point about the uselessness of mere religious identity.</w:t>
      </w:r>
    </w:p>
    <w:p>
      <w:pPr>
        <w:numPr>
          <w:ilvl w:val="0"/>
          <w:numId w:val="1002"/>
        </w:numPr>
      </w:pPr>
      <w:r>
        <w:rPr>
          <w:b/>
          <w:bCs/>
        </w:rPr>
        <w:t xml:space="preserve">Applying the judgment exclusively to ancient Israel and not pressing it into the present.</w:t>
      </w:r>
      <w:r>
        <w:t xml:space="preserve"> </w:t>
      </w:r>
      <w:r>
        <w:t xml:space="preserve">Ezekiel 15 is a historical oracle about Jerusalem, but the New Testament establishes that the same logic applies to the new covenant community (Matthew 3:9–10, Hebrews 6:7–8, John 15:6). The preacher who leaves the application safely in the past has preached history, not Scripture. The warning is genuinely pressing for contemporary congregations, particularly those with strong covenant, confessional, or heritage identities.</w:t>
      </w:r>
    </w:p>
    <w:p>
      <w:pPr>
        <w:numPr>
          <w:ilvl w:val="0"/>
          <w:numId w:val="1002"/>
        </w:numPr>
      </w:pPr>
      <w:r>
        <w:rPr>
          <w:b/>
          <w:bCs/>
        </w:rPr>
        <w:t xml:space="preserve">Missing the recognition formula as a theological claim.</w:t>
      </w:r>
      <w:r>
        <w:t xml:space="preserve"> </w:t>
      </w:r>
      <w:r>
        <w:t xml:space="preserve">Verse 7 —</w:t>
      </w:r>
      <w:r>
        <w:t xml:space="preserve"> </w:t>
      </w:r>
      <w:r>
        <w:t xml:space="preserve">“you will know that I am the LORD”</w:t>
      </w:r>
      <w:r>
        <w:t xml:space="preserve"> </w:t>
      </w:r>
      <w:r>
        <w:t xml:space="preserve">— is not a throwaway closing line. It is the</w:t>
      </w:r>
      <w:r>
        <w:t xml:space="preserve"> </w:t>
      </w:r>
      <w:r>
        <w:rPr>
          <w:i/>
          <w:iCs/>
        </w:rPr>
        <w:t xml:space="preserve">point</w:t>
      </w:r>
      <w:r>
        <w:t xml:space="preserve"> </w:t>
      </w:r>
      <w:r>
        <w:t xml:space="preserve">of the judgment, theologically: God acts in judgment to make Himself known. This means the preacher must resist the implicit assumption that judgment is God’s reluctant, regrettable last resort. In Ezekiel’s theology, judgment is a form of divine self-disclosure. Omitting this nuance produces a truncated doctrine of God and fails to explain why the severity of this text is not a contradiction of God’s character but an expression of it.</w:t>
      </w:r>
    </w:p>
    <w:p>
      <w:pPr>
        <w:numPr>
          <w:ilvl w:val="0"/>
          <w:numId w:val="1002"/>
        </w:numPr>
      </w:pPr>
      <w:r>
        <w:rPr>
          <w:b/>
          <w:bCs/>
        </w:rPr>
        <w:t xml:space="preserve">Treating the two-part structure as two separate sermons with equal weight.</w:t>
      </w:r>
      <w:r>
        <w:t xml:space="preserve"> </w:t>
      </w:r>
      <w:r>
        <w:t xml:space="preserve">The parable (vv. 1–5) and the application (vv. 6–8) are not two parallel units — the parable exists entirely to load the application. The weight of the text falls on verses 6–8. If the exposition spends most of its energy in the rhetorical questions of the parable without landing with full force on the application, it has preached the vehicle and underpreached the destination.</w:t>
      </w:r>
    </w:p>
    <w:p>
      <w:r>
        <w:pict>
          <v:rect style="width:0;height:1.5pt" o:hralign="center" o:hrstd="t" o:hr="t"/>
        </w:pict>
      </w:r>
    </w:p>
    <w:p>
      <w:pPr>
        <w:pStyle w:val="FirstParagraph"/>
      </w:pPr>
      <w:r>
        <w:rPr>
          <w:i/>
          <w:iCs/>
        </w:rPr>
        <w:t xml:space="preserve">Document: 26 Ezekiel 15.docx</w:t>
      </w:r>
      <w:r>
        <w:t xml:space="preserve"> </w:t>
      </w:r>
      <w:r>
        <w:rPr>
          <w:i/>
          <w:iCs/>
        </w:rPr>
        <w:t xml:space="preserve">Framework: CLAUDE2.md — Reformed Homiletical Analysis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2026-07-14T21:06:19Z</dcterms:created>
  <dcterms:modified xsi:type="dcterms:W3CDTF">2026-07-14T21:06:19Z</dcterms:modified>
</cp:coreProperties>
</file>

<file path=docProps/custom.xml><?xml version="1.0" encoding="utf-8"?>
<Properties xmlns="http://schemas.openxmlformats.org/officeDocument/2006/custom-properties" xmlns:vt="http://schemas.openxmlformats.org/officeDocument/2006/docPropsVTypes"/>
</file>